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483" w:rsidRDefault="00202483" w:rsidP="00202483">
      <w:pPr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8"/>
          <w:szCs w:val="28"/>
        </w:rPr>
        <w:t>Anticorruzione / Emanate dall’ANAC nuove Linee Guida sui conflitti di interesse ed appalti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8"/>
          <w:szCs w:val="28"/>
        </w:rPr>
        <w:t xml:space="preserve"> </w:t>
      </w:r>
    </w:p>
    <w:p w:rsidR="00202483" w:rsidRDefault="00202483" w:rsidP="00202483">
      <w:pPr>
        <w:jc w:val="both"/>
        <w:rPr>
          <w:rFonts w:ascii="Calibri" w:hAnsi="Calibri" w:cs="Calibri"/>
          <w:color w:val="111111"/>
        </w:rPr>
      </w:pPr>
      <w:r>
        <w:rPr>
          <w:rFonts w:ascii="Calibri" w:hAnsi="Calibri" w:cs="Calibri"/>
          <w:color w:val="000000"/>
        </w:rPr>
        <w:t>Sulla Serie Generale n. 182 del 5 agosto 2019 della Gazzetta ufficiale della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Repubblica Italiana è stata pubblicata la </w:t>
      </w:r>
      <w:r>
        <w:rPr>
          <w:rFonts w:ascii="Calibri-Bold" w:hAnsi="Calibri-Bold" w:cs="Calibri-Bold"/>
          <w:b/>
          <w:bCs/>
          <w:color w:val="000000"/>
        </w:rPr>
        <w:t>Delibera ANAC n. 494 del 5 giugno 2019</w:t>
      </w:r>
      <w:r>
        <w:rPr>
          <w:rFonts w:ascii="Calibri-Bold" w:hAnsi="Calibri-Bold" w:cs="Calibri-Bold"/>
          <w:b/>
          <w:bCs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recante “</w:t>
      </w:r>
      <w:r>
        <w:rPr>
          <w:rFonts w:ascii="Calibri-Italic" w:hAnsi="Calibri-Italic" w:cs="Calibri-Italic"/>
          <w:i/>
          <w:iCs/>
          <w:color w:val="000000"/>
        </w:rPr>
        <w:t>Linee Guida n. 15 sulla Individuazione e gestione dei conflitti di interesse</w:t>
      </w:r>
      <w:r>
        <w:rPr>
          <w:rFonts w:ascii="Calibri-Italic" w:hAnsi="Calibri-Italic" w:cs="Calibri-Italic"/>
          <w:i/>
          <w:iCs/>
          <w:color w:val="000000"/>
        </w:rPr>
        <w:t xml:space="preserve">   </w:t>
      </w:r>
      <w:r>
        <w:rPr>
          <w:rFonts w:ascii="Calibri-Italic" w:hAnsi="Calibri-Italic" w:cs="Calibri-Italic"/>
          <w:i/>
          <w:iCs/>
          <w:color w:val="000000"/>
        </w:rPr>
        <w:t>nelle procedure di affidamento di contratti pubblici</w:t>
      </w:r>
      <w:r>
        <w:rPr>
          <w:rFonts w:ascii="Calibri" w:hAnsi="Calibri" w:cs="Calibri"/>
          <w:color w:val="000000"/>
        </w:rPr>
        <w:t>”, varate anche alla luce del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parere n. 667 del 5 marzo 2019 rilasciato dal Consiglio di Stato e facenti riferimento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all'art. 42 del </w:t>
      </w:r>
      <w:proofErr w:type="spellStart"/>
      <w:r>
        <w:rPr>
          <w:rFonts w:ascii="Calibri-Bold" w:hAnsi="Calibri-Bold" w:cs="Calibri-Bold"/>
          <w:b/>
          <w:bCs/>
          <w:color w:val="000000"/>
        </w:rPr>
        <w:t>D.Lgs.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n. 50/2016 </w:t>
      </w:r>
      <w:r>
        <w:rPr>
          <w:rFonts w:ascii="Calibri" w:hAnsi="Calibri" w:cs="Calibri"/>
          <w:color w:val="000000"/>
        </w:rPr>
        <w:t xml:space="preserve">(c.d. </w:t>
      </w:r>
      <w:r>
        <w:rPr>
          <w:rFonts w:ascii="Calibri-Italic" w:hAnsi="Calibri-Italic" w:cs="Calibri-Italic"/>
          <w:i/>
          <w:iCs/>
          <w:color w:val="000000"/>
        </w:rPr>
        <w:t>Codice dei contratti</w:t>
      </w:r>
      <w:r>
        <w:rPr>
          <w:rFonts w:ascii="Calibri" w:hAnsi="Calibri" w:cs="Calibri"/>
          <w:color w:val="000000"/>
        </w:rPr>
        <w:t>), che ha introdotto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111111"/>
        </w:rPr>
        <w:t>una disciplina particolare per le ipotesi di conflitto di interesse nell’ambito delle</w:t>
      </w:r>
      <w:r>
        <w:rPr>
          <w:rFonts w:ascii="Calibri" w:hAnsi="Calibri" w:cs="Calibri"/>
          <w:color w:val="111111"/>
        </w:rPr>
        <w:t xml:space="preserve">   </w:t>
      </w:r>
      <w:r>
        <w:rPr>
          <w:rFonts w:ascii="Calibri" w:hAnsi="Calibri" w:cs="Calibri"/>
          <w:color w:val="111111"/>
        </w:rPr>
        <w:t>procedure di affidamento dei contratti pubblici.</w:t>
      </w:r>
      <w:r>
        <w:rPr>
          <w:rFonts w:ascii="Calibri" w:hAnsi="Calibri" w:cs="Calibri"/>
          <w:color w:val="111111"/>
        </w:rPr>
        <w:t xml:space="preserve"> </w:t>
      </w:r>
    </w:p>
    <w:p w:rsidR="00202483" w:rsidRDefault="00202483" w:rsidP="0020248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 </w:t>
      </w:r>
      <w:r>
        <w:rPr>
          <w:rFonts w:ascii="Calibri-Bold" w:hAnsi="Calibri-Bold" w:cs="Calibri-Bold"/>
          <w:b/>
          <w:bCs/>
          <w:color w:val="000000"/>
        </w:rPr>
        <w:t xml:space="preserve">nuove Linee Guida </w:t>
      </w:r>
      <w:proofErr w:type="gramStart"/>
      <w:r>
        <w:rPr>
          <w:rFonts w:ascii="Calibri-Bold" w:hAnsi="Calibri-Bold" w:cs="Calibri-Bold"/>
          <w:b/>
          <w:bCs/>
          <w:color w:val="000000"/>
        </w:rPr>
        <w:t>dell' ANAC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sono costituite da 4 parti:</w:t>
      </w:r>
      <w:r>
        <w:rPr>
          <w:rFonts w:ascii="Calibri" w:hAnsi="Calibri" w:cs="Calibri"/>
          <w:color w:val="000000"/>
        </w:rPr>
        <w:t xml:space="preserve"> </w:t>
      </w:r>
    </w:p>
    <w:p w:rsidR="00202483" w:rsidRPr="00202483" w:rsidRDefault="00202483" w:rsidP="00202483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202483">
        <w:rPr>
          <w:rFonts w:ascii="Calibri" w:hAnsi="Calibri" w:cs="Calibri"/>
          <w:color w:val="000000"/>
        </w:rPr>
        <w:t>Parte I - Definizioni e ambito di applicazione del conflitto di interesse nelle procedure di gara</w:t>
      </w:r>
      <w:r w:rsidRPr="00202483">
        <w:rPr>
          <w:rFonts w:ascii="Calibri" w:hAnsi="Calibri" w:cs="Calibri"/>
          <w:color w:val="000000"/>
        </w:rPr>
        <w:t xml:space="preserve">   </w:t>
      </w:r>
    </w:p>
    <w:p w:rsidR="00202483" w:rsidRPr="00202483" w:rsidRDefault="00202483" w:rsidP="00202483">
      <w:pPr>
        <w:pStyle w:val="Paragrafoelenco"/>
        <w:numPr>
          <w:ilvl w:val="0"/>
          <w:numId w:val="3"/>
        </w:numPr>
        <w:jc w:val="both"/>
        <w:rPr>
          <w:rFonts w:ascii="SymbolMT" w:eastAsia="SymbolMT" w:hAnsi="Calibri-BoldItalic" w:cs="SymbolMT"/>
          <w:color w:val="000000"/>
          <w:sz w:val="20"/>
          <w:szCs w:val="20"/>
        </w:rPr>
      </w:pPr>
      <w:r w:rsidRPr="00202483">
        <w:rPr>
          <w:rFonts w:ascii="Calibri" w:hAnsi="Calibri" w:cs="Calibri"/>
          <w:color w:val="000000"/>
        </w:rPr>
        <w:t>Parte II - Obblighi dichiarativi e di comunicazione</w:t>
      </w:r>
      <w:r w:rsidRPr="00202483">
        <w:rPr>
          <w:rFonts w:ascii="Calibri" w:hAnsi="Calibri" w:cs="Calibri"/>
          <w:color w:val="000000"/>
        </w:rPr>
        <w:t xml:space="preserve">   </w:t>
      </w:r>
      <w:r w:rsidRPr="00202483">
        <w:rPr>
          <w:rFonts w:ascii="SymbolMT" w:eastAsia="SymbolMT" w:hAnsi="Calibri-BoldItalic" w:cs="SymbolMT" w:hint="eastAsia"/>
          <w:color w:val="000000"/>
          <w:sz w:val="20"/>
          <w:szCs w:val="20"/>
        </w:rPr>
        <w:t></w:t>
      </w:r>
    </w:p>
    <w:p w:rsidR="00202483" w:rsidRPr="00202483" w:rsidRDefault="00202483" w:rsidP="00202483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202483">
        <w:rPr>
          <w:rFonts w:ascii="Calibri" w:hAnsi="Calibri" w:cs="Calibri"/>
          <w:color w:val="000000"/>
        </w:rPr>
        <w:t>Parte III - Obbligo di astensione ed esclusione dalla gara del concorrente</w:t>
      </w:r>
      <w:r w:rsidRPr="00202483">
        <w:rPr>
          <w:rFonts w:ascii="Calibri" w:hAnsi="Calibri" w:cs="Calibri"/>
          <w:color w:val="000000"/>
        </w:rPr>
        <w:t xml:space="preserve">   </w:t>
      </w:r>
    </w:p>
    <w:p w:rsidR="00202483" w:rsidRPr="00202483" w:rsidRDefault="00202483" w:rsidP="00202483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202483">
        <w:rPr>
          <w:rFonts w:ascii="Calibri" w:hAnsi="Calibri" w:cs="Calibri"/>
          <w:color w:val="000000"/>
        </w:rPr>
        <w:t>Parte IV - La prevenzione del rischio</w:t>
      </w:r>
      <w:r w:rsidRPr="00202483">
        <w:rPr>
          <w:rFonts w:ascii="Calibri" w:hAnsi="Calibri" w:cs="Calibri"/>
          <w:color w:val="000000"/>
        </w:rPr>
        <w:t xml:space="preserve">   </w:t>
      </w:r>
    </w:p>
    <w:p w:rsidR="00202483" w:rsidRDefault="00202483" w:rsidP="0020248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11111"/>
        </w:rPr>
        <w:t>Si tratta di una novità assoluta, la cui ratio va ricercata nella volontà di disciplinare il conflitto di interesse in un ambito</w:t>
      </w:r>
      <w:r>
        <w:rPr>
          <w:rFonts w:ascii="Calibri" w:hAnsi="Calibri" w:cs="Calibri"/>
          <w:color w:val="111111"/>
        </w:rPr>
        <w:t xml:space="preserve">   </w:t>
      </w:r>
      <w:r>
        <w:rPr>
          <w:rFonts w:ascii="Calibri" w:hAnsi="Calibri" w:cs="Calibri"/>
          <w:color w:val="111111"/>
        </w:rPr>
        <w:t>particolarmente esposto al rischio di interferenze, a tutela del principio di concorrenza e del prestigio della Pubblica</w:t>
      </w:r>
      <w:r>
        <w:rPr>
          <w:rFonts w:ascii="Calibri" w:hAnsi="Calibri" w:cs="Calibri"/>
          <w:color w:val="111111"/>
        </w:rPr>
        <w:t xml:space="preserve">   </w:t>
      </w:r>
      <w:r>
        <w:rPr>
          <w:rFonts w:ascii="Calibri" w:hAnsi="Calibri" w:cs="Calibri"/>
          <w:color w:val="111111"/>
        </w:rPr>
        <w:t>Amministrazione.</w:t>
      </w:r>
      <w:r>
        <w:rPr>
          <w:rFonts w:ascii="Calibri" w:hAnsi="Calibri" w:cs="Calibri"/>
          <w:color w:val="111111"/>
        </w:rPr>
        <w:t xml:space="preserve">   </w:t>
      </w:r>
      <w:r>
        <w:rPr>
          <w:rFonts w:ascii="Calibri" w:hAnsi="Calibri" w:cs="Calibri"/>
          <w:color w:val="000000"/>
        </w:rPr>
        <w:t>L’individuazione del rischio è particolarmente rilevante nei casi in cui maggiore è la discrezionalità riconosciuta alla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stazione appaltante.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Nella tabella allegata alla Parte IV è possibile individuare, preventivamente, possibili situazioni di rischio che possano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far emergere, nelle varie fasi della procedura, conflitti di interesse non dichiarati o non comunicati.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Le fasi individuate sono le seguenti:</w:t>
      </w:r>
      <w:r>
        <w:rPr>
          <w:rFonts w:ascii="Calibri" w:hAnsi="Calibri" w:cs="Calibri"/>
          <w:color w:val="000000"/>
        </w:rPr>
        <w:t xml:space="preserve">  </w:t>
      </w:r>
    </w:p>
    <w:p w:rsidR="00202483" w:rsidRDefault="00202483" w:rsidP="0020248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SymbolMT" w:eastAsia="SymbolMT" w:hAnsi="Calibri-BoldItalic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-BoldItalic" w:cs="SymbolMT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>programmazione;</w:t>
      </w:r>
      <w:r>
        <w:rPr>
          <w:rFonts w:ascii="Calibri" w:hAnsi="Calibri" w:cs="Calibri"/>
          <w:color w:val="000000"/>
        </w:rPr>
        <w:t xml:space="preserve">   </w:t>
      </w:r>
    </w:p>
    <w:p w:rsidR="00202483" w:rsidRDefault="00202483" w:rsidP="00202483">
      <w:pPr>
        <w:jc w:val="both"/>
        <w:rPr>
          <w:rFonts w:ascii="Calibri" w:hAnsi="Calibri" w:cs="Calibri"/>
          <w:color w:val="000000"/>
        </w:rPr>
      </w:pPr>
      <w:r>
        <w:rPr>
          <w:rFonts w:ascii="SymbolMT" w:eastAsia="SymbolMT" w:hAnsi="Calibri-BoldItalic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-BoldItalic" w:cs="SymbolMT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>progettazione della gara;</w:t>
      </w:r>
      <w:r>
        <w:rPr>
          <w:rFonts w:ascii="Calibri" w:hAnsi="Calibri" w:cs="Calibri"/>
          <w:color w:val="000000"/>
        </w:rPr>
        <w:t xml:space="preserve">   </w:t>
      </w:r>
    </w:p>
    <w:p w:rsidR="00202483" w:rsidRDefault="00202483" w:rsidP="00202483">
      <w:pPr>
        <w:jc w:val="both"/>
        <w:rPr>
          <w:rFonts w:ascii="Calibri" w:hAnsi="Calibri" w:cs="Calibri"/>
          <w:color w:val="000000"/>
        </w:rPr>
      </w:pPr>
      <w:r>
        <w:rPr>
          <w:rFonts w:ascii="SymbolMT" w:eastAsia="SymbolMT" w:hAnsi="Calibri-BoldItalic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-BoldItalic" w:cs="SymbolMT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>selezione del contraente;</w:t>
      </w:r>
      <w:r>
        <w:rPr>
          <w:rFonts w:ascii="Calibri" w:hAnsi="Calibri" w:cs="Calibri"/>
          <w:color w:val="000000"/>
        </w:rPr>
        <w:t xml:space="preserve">   </w:t>
      </w:r>
    </w:p>
    <w:p w:rsidR="00202483" w:rsidRDefault="00202483" w:rsidP="00202483">
      <w:pPr>
        <w:jc w:val="both"/>
        <w:rPr>
          <w:rFonts w:ascii="Calibri" w:hAnsi="Calibri" w:cs="Calibri"/>
          <w:color w:val="000000"/>
        </w:rPr>
      </w:pPr>
      <w:r>
        <w:rPr>
          <w:rFonts w:ascii="SymbolMT" w:eastAsia="SymbolMT" w:hAnsi="Calibri-BoldItalic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-BoldItalic" w:cs="SymbolMT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>verifica, aggiudicazione e stipula contratto;</w:t>
      </w:r>
      <w:r>
        <w:rPr>
          <w:rFonts w:ascii="Calibri" w:hAnsi="Calibri" w:cs="Calibri"/>
          <w:color w:val="000000"/>
        </w:rPr>
        <w:t xml:space="preserve">   </w:t>
      </w:r>
    </w:p>
    <w:p w:rsidR="00202483" w:rsidRDefault="00202483" w:rsidP="00202483">
      <w:pPr>
        <w:jc w:val="both"/>
        <w:rPr>
          <w:rFonts w:ascii="Calibri" w:hAnsi="Calibri" w:cs="Calibri"/>
          <w:color w:val="000000"/>
        </w:rPr>
      </w:pPr>
      <w:r>
        <w:rPr>
          <w:rFonts w:ascii="SymbolMT" w:eastAsia="SymbolMT" w:hAnsi="Calibri-BoldItalic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-BoldItalic" w:cs="SymbolMT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>esecuzione del contratto;</w:t>
      </w:r>
      <w:r>
        <w:rPr>
          <w:rFonts w:ascii="Calibri" w:hAnsi="Calibri" w:cs="Calibri"/>
          <w:color w:val="000000"/>
        </w:rPr>
        <w:t xml:space="preserve">   </w:t>
      </w:r>
    </w:p>
    <w:p w:rsidR="00202483" w:rsidRDefault="00202483" w:rsidP="00202483">
      <w:pPr>
        <w:jc w:val="both"/>
        <w:rPr>
          <w:rFonts w:ascii="Calibri" w:hAnsi="Calibri" w:cs="Calibri"/>
          <w:color w:val="000000"/>
        </w:rPr>
      </w:pPr>
      <w:r>
        <w:rPr>
          <w:rFonts w:ascii="SymbolMT" w:eastAsia="SymbolMT" w:hAnsi="Calibri-BoldItalic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-BoldItalic" w:cs="SymbolMT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>rendicontazione del contratto, con la precisazione che per ogni fase sono riportati: i processi; i soggetti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coinvolti; le situazioni di rischio.</w:t>
      </w:r>
      <w:r>
        <w:rPr>
          <w:rFonts w:ascii="Calibri" w:hAnsi="Calibri" w:cs="Calibri"/>
          <w:color w:val="000000"/>
        </w:rPr>
        <w:t xml:space="preserve">  </w:t>
      </w:r>
    </w:p>
    <w:p w:rsidR="008635B5" w:rsidRDefault="00202483" w:rsidP="00202483">
      <w:pPr>
        <w:jc w:val="both"/>
        <w:rPr>
          <w:rFonts w:ascii="Calibri" w:hAnsi="Calibri" w:cs="Calibri"/>
          <w:color w:val="111111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111111"/>
        </w:rPr>
        <w:t>In linea generale, la sussistenza di un conflitto di interesse relativamente ad una procedura di gestione di un contratto</w:t>
      </w:r>
      <w:r>
        <w:rPr>
          <w:rFonts w:ascii="Calibri" w:hAnsi="Calibri" w:cs="Calibri"/>
          <w:color w:val="111111"/>
        </w:rPr>
        <w:t xml:space="preserve">   </w:t>
      </w:r>
      <w:r>
        <w:rPr>
          <w:rFonts w:ascii="Calibri" w:hAnsi="Calibri" w:cs="Calibri"/>
          <w:color w:val="111111"/>
        </w:rPr>
        <w:t>pubblico comporta il dovere di astensione dalla partecipazione alla procedura e la partecipazione alla procedura da</w:t>
      </w:r>
      <w:r>
        <w:rPr>
          <w:rFonts w:ascii="Calibri" w:hAnsi="Calibri" w:cs="Calibri"/>
          <w:color w:val="111111"/>
        </w:rPr>
        <w:t xml:space="preserve">   </w:t>
      </w:r>
      <w:r>
        <w:rPr>
          <w:rFonts w:ascii="Calibri" w:hAnsi="Calibri" w:cs="Calibri"/>
          <w:color w:val="111111"/>
        </w:rPr>
        <w:t xml:space="preserve">parte del soggetto che versi in una situazione di conflitto di interessi comporta l’insorgere delle responsabilità, </w:t>
      </w:r>
      <w:proofErr w:type="gramStart"/>
      <w:r>
        <w:rPr>
          <w:rFonts w:ascii="Calibri" w:hAnsi="Calibri" w:cs="Calibri"/>
          <w:color w:val="111111"/>
        </w:rPr>
        <w:t>penali,</w:t>
      </w:r>
      <w:r>
        <w:rPr>
          <w:rFonts w:ascii="Calibri" w:hAnsi="Calibri" w:cs="Calibri"/>
          <w:color w:val="111111"/>
        </w:rPr>
        <w:t xml:space="preserve">   </w:t>
      </w:r>
      <w:proofErr w:type="gramEnd"/>
      <w:r>
        <w:rPr>
          <w:rFonts w:ascii="Calibri" w:hAnsi="Calibri" w:cs="Calibri"/>
          <w:color w:val="111111"/>
        </w:rPr>
        <w:t>amministrative e disciplinari, individuate all’articolo 42, comma 3, del codice dei contratti pubblici.</w:t>
      </w:r>
    </w:p>
    <w:p w:rsidR="00202483" w:rsidRDefault="00202483" w:rsidP="00202483">
      <w:pPr>
        <w:jc w:val="both"/>
        <w:rPr>
          <w:rFonts w:ascii="Calibri" w:hAnsi="Calibri" w:cs="Calibri"/>
          <w:color w:val="111111"/>
        </w:rPr>
      </w:pPr>
      <w:bookmarkStart w:id="0" w:name="_GoBack"/>
      <w:bookmarkEnd w:id="0"/>
      <w:r>
        <w:rPr>
          <w:rFonts w:ascii="Calibri" w:hAnsi="Calibri" w:cs="Calibri"/>
          <w:color w:val="111111"/>
        </w:rPr>
        <w:t>Di conseguenza, il</w:t>
      </w:r>
      <w:r>
        <w:rPr>
          <w:rFonts w:ascii="Calibri" w:hAnsi="Calibri" w:cs="Calibri"/>
          <w:color w:val="111111"/>
        </w:rPr>
        <w:t xml:space="preserve">   </w:t>
      </w:r>
      <w:r>
        <w:rPr>
          <w:rFonts w:ascii="Calibri" w:hAnsi="Calibri" w:cs="Calibri"/>
          <w:color w:val="111111"/>
        </w:rPr>
        <w:t>responsabile dell’ufficio di appartenenza del soggetto interessato o, nel caso di dirigente, il superiore gerarchico, è</w:t>
      </w:r>
      <w:r>
        <w:rPr>
          <w:rFonts w:ascii="Calibri" w:hAnsi="Calibri" w:cs="Calibri"/>
          <w:color w:val="111111"/>
        </w:rPr>
        <w:t xml:space="preserve">   </w:t>
      </w:r>
      <w:r>
        <w:rPr>
          <w:rFonts w:ascii="Calibri" w:hAnsi="Calibri" w:cs="Calibri"/>
          <w:color w:val="111111"/>
        </w:rPr>
        <w:t>chiamato a valutare, in contraddittorio con il dichiarante, se la situazione segnalata o comunque accertata realizzi un</w:t>
      </w:r>
      <w:r>
        <w:rPr>
          <w:rFonts w:ascii="Calibri" w:hAnsi="Calibri" w:cs="Calibri"/>
          <w:color w:val="111111"/>
        </w:rPr>
        <w:t xml:space="preserve">   </w:t>
      </w:r>
      <w:r>
        <w:rPr>
          <w:rFonts w:ascii="Calibri" w:hAnsi="Calibri" w:cs="Calibri"/>
          <w:color w:val="111111"/>
        </w:rPr>
        <w:t xml:space="preserve">conflitto di interessi idoneo a ledere l’imparzialità </w:t>
      </w:r>
      <w:r>
        <w:rPr>
          <w:rFonts w:ascii="Calibri" w:hAnsi="Calibri" w:cs="Calibri"/>
          <w:color w:val="111111"/>
        </w:rPr>
        <w:lastRenderedPageBreak/>
        <w:t>dell’azione amministrativa. Nel Piano triennale di prevenzione della</w:t>
      </w:r>
      <w:r>
        <w:rPr>
          <w:rFonts w:ascii="Calibri" w:hAnsi="Calibri" w:cs="Calibri"/>
          <w:color w:val="111111"/>
        </w:rPr>
        <w:t xml:space="preserve">   </w:t>
      </w:r>
      <w:r>
        <w:rPr>
          <w:rFonts w:ascii="Calibri" w:hAnsi="Calibri" w:cs="Calibri"/>
          <w:color w:val="111111"/>
        </w:rPr>
        <w:t>corruzione e della trasparenza (PTPC) o in altro atto organizzativo interno la stazione appaltante individua il titolare</w:t>
      </w:r>
      <w:r>
        <w:rPr>
          <w:rFonts w:ascii="Calibri" w:hAnsi="Calibri" w:cs="Calibri"/>
          <w:color w:val="111111"/>
        </w:rPr>
        <w:t xml:space="preserve">   </w:t>
      </w:r>
      <w:r>
        <w:rPr>
          <w:rFonts w:ascii="Calibri" w:hAnsi="Calibri" w:cs="Calibri"/>
          <w:color w:val="111111"/>
        </w:rPr>
        <w:t>del potere sostitutivo che valuta l’esistenza del conflitto di interesse in caso di dirigente apicale.</w:t>
      </w:r>
      <w:r>
        <w:rPr>
          <w:rFonts w:ascii="Calibri" w:hAnsi="Calibri" w:cs="Calibri"/>
          <w:color w:val="111111"/>
        </w:rPr>
        <w:t xml:space="preserve">   </w:t>
      </w:r>
      <w:r>
        <w:rPr>
          <w:rFonts w:ascii="Times New Roman" w:hAnsi="Times New Roman" w:cs="Times New Roman"/>
          <w:color w:val="000000"/>
          <w:sz w:val="2"/>
          <w:szCs w:val="2"/>
        </w:rPr>
        <w:t>j</w:t>
      </w:r>
      <w:r>
        <w:rPr>
          <w:rFonts w:ascii="Times New Roman" w:hAnsi="Times New Roman" w:cs="Times New Roman"/>
          <w:color w:val="000000"/>
          <w:sz w:val="2"/>
          <w:szCs w:val="2"/>
        </w:rPr>
        <w:t xml:space="preserve">   </w:t>
      </w:r>
      <w:r>
        <w:rPr>
          <w:rFonts w:ascii="Calibri" w:hAnsi="Calibri" w:cs="Calibri"/>
          <w:color w:val="111111"/>
        </w:rPr>
        <w:t>La valutazione della sussistenza di un conflitto di interessi viene effettuata tenendo in considerazione le ipotesi previste</w:t>
      </w:r>
      <w:r>
        <w:rPr>
          <w:rFonts w:ascii="Calibri" w:hAnsi="Calibri" w:cs="Calibri"/>
          <w:color w:val="111111"/>
        </w:rPr>
        <w:t xml:space="preserve">   </w:t>
      </w:r>
      <w:r>
        <w:rPr>
          <w:rFonts w:ascii="Calibri" w:hAnsi="Calibri" w:cs="Calibri"/>
          <w:color w:val="111111"/>
        </w:rPr>
        <w:t>dall’articolo 7 del decreto del Presidente della Repubblica n. 62/2013.</w:t>
      </w:r>
      <w:r>
        <w:rPr>
          <w:rFonts w:ascii="Calibri" w:hAnsi="Calibri" w:cs="Calibri"/>
          <w:color w:val="111111"/>
        </w:rPr>
        <w:t xml:space="preserve">  </w:t>
      </w:r>
    </w:p>
    <w:p w:rsidR="00202483" w:rsidRDefault="00202483" w:rsidP="00202483">
      <w:pPr>
        <w:jc w:val="both"/>
        <w:rPr>
          <w:rFonts w:ascii="Calibri" w:hAnsi="Calibri" w:cs="Calibri"/>
          <w:color w:val="111111"/>
        </w:rPr>
      </w:pPr>
      <w:r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In particolare, occorre valutare se la causa di astensione sia grave e metta in pericolo l’adempimento dei doveri di</w:t>
      </w:r>
      <w:r>
        <w:rPr>
          <w:rFonts w:ascii="Calibri" w:hAnsi="Calibri" w:cs="Calibri"/>
          <w:color w:val="111111"/>
        </w:rPr>
        <w:t xml:space="preserve">   </w:t>
      </w:r>
      <w:r>
        <w:rPr>
          <w:rFonts w:ascii="Calibri" w:hAnsi="Calibri" w:cs="Calibri"/>
          <w:color w:val="111111"/>
        </w:rPr>
        <w:t>integrità, indipendenza e imparzialità del dipendente, considerando, altresì, il pregiudizio che potrebbe derivare al</w:t>
      </w:r>
      <w:r>
        <w:rPr>
          <w:rFonts w:ascii="Calibri" w:hAnsi="Calibri" w:cs="Calibri"/>
          <w:color w:val="111111"/>
        </w:rPr>
        <w:t xml:space="preserve">   </w:t>
      </w:r>
      <w:r>
        <w:rPr>
          <w:rFonts w:ascii="Calibri" w:hAnsi="Calibri" w:cs="Calibri"/>
          <w:color w:val="111111"/>
        </w:rPr>
        <w:t>decoro e al prestigio dell’amministrazione di appartenenza. La stazione appaltante deve valutare tutte le circostanze</w:t>
      </w:r>
      <w:r>
        <w:rPr>
          <w:rFonts w:ascii="Calibri" w:hAnsi="Calibri" w:cs="Calibri"/>
          <w:color w:val="111111"/>
        </w:rPr>
        <w:t xml:space="preserve">   </w:t>
      </w:r>
      <w:r>
        <w:rPr>
          <w:rFonts w:ascii="Calibri" w:hAnsi="Calibri" w:cs="Calibri"/>
          <w:color w:val="111111"/>
        </w:rPr>
        <w:t xml:space="preserve">del caso concreto, tenendo conto della propria organizzazione, della specifica procedura espletata nel caso di </w:t>
      </w:r>
      <w:proofErr w:type="gramStart"/>
      <w:r>
        <w:rPr>
          <w:rFonts w:ascii="Calibri" w:hAnsi="Calibri" w:cs="Calibri"/>
          <w:color w:val="111111"/>
        </w:rPr>
        <w:t>specie,</w:t>
      </w:r>
      <w:r>
        <w:rPr>
          <w:rFonts w:ascii="Calibri" w:hAnsi="Calibri" w:cs="Calibri"/>
          <w:color w:val="111111"/>
        </w:rPr>
        <w:t xml:space="preserve">   </w:t>
      </w:r>
      <w:proofErr w:type="gramEnd"/>
      <w:r>
        <w:rPr>
          <w:rFonts w:ascii="Calibri" w:hAnsi="Calibri" w:cs="Calibri"/>
          <w:color w:val="111111"/>
        </w:rPr>
        <w:t>dei compiti e delle funzioni svolte dal dipendente e degli interessi personali dello stesso.</w:t>
      </w:r>
      <w:r>
        <w:rPr>
          <w:rFonts w:ascii="Calibri" w:hAnsi="Calibri" w:cs="Calibri"/>
          <w:color w:val="111111"/>
        </w:rPr>
        <w:t xml:space="preserve">  </w:t>
      </w:r>
    </w:p>
    <w:p w:rsidR="00202483" w:rsidRDefault="00202483" w:rsidP="00202483">
      <w:pPr>
        <w:jc w:val="both"/>
        <w:rPr>
          <w:rFonts w:ascii="Calibri" w:hAnsi="Calibri" w:cs="Calibri"/>
          <w:color w:val="111111"/>
        </w:rPr>
      </w:pPr>
      <w:r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Nel caso in cui il soggetto accerti la sussistenza di un conflitto di interesse idoneo a ledere l’imparzialità dell’azione</w:t>
      </w:r>
      <w:r>
        <w:rPr>
          <w:rFonts w:ascii="Calibri" w:hAnsi="Calibri" w:cs="Calibri"/>
          <w:color w:val="111111"/>
        </w:rPr>
        <w:t xml:space="preserve">   </w:t>
      </w:r>
      <w:r>
        <w:rPr>
          <w:rFonts w:ascii="Calibri" w:hAnsi="Calibri" w:cs="Calibri"/>
          <w:color w:val="111111"/>
        </w:rPr>
        <w:t>amministrativa, lo stesso affida il procedimento ad un diverso funzionario dell’amministrazione oppure, in carenza di</w:t>
      </w:r>
      <w:r>
        <w:rPr>
          <w:rFonts w:ascii="Calibri" w:hAnsi="Calibri" w:cs="Calibri"/>
          <w:color w:val="111111"/>
        </w:rPr>
        <w:t xml:space="preserve">   </w:t>
      </w:r>
      <w:r>
        <w:rPr>
          <w:rFonts w:ascii="Calibri" w:hAnsi="Calibri" w:cs="Calibri"/>
          <w:color w:val="111111"/>
        </w:rPr>
        <w:t xml:space="preserve">idonee figure professionali, lo avoca a </w:t>
      </w:r>
      <w:proofErr w:type="gramStart"/>
      <w:r>
        <w:rPr>
          <w:rFonts w:ascii="Calibri" w:hAnsi="Calibri" w:cs="Calibri"/>
          <w:color w:val="111111"/>
        </w:rPr>
        <w:t>se</w:t>
      </w:r>
      <w:proofErr w:type="gramEnd"/>
      <w:r>
        <w:rPr>
          <w:rFonts w:ascii="Calibri" w:hAnsi="Calibri" w:cs="Calibri"/>
          <w:color w:val="111111"/>
        </w:rPr>
        <w:t xml:space="preserve"> stesso. </w:t>
      </w:r>
    </w:p>
    <w:p w:rsidR="00202483" w:rsidRDefault="00202483" w:rsidP="00202483">
      <w:pPr>
        <w:jc w:val="both"/>
        <w:rPr>
          <w:rFonts w:ascii="Calibri" w:hAnsi="Calibri" w:cs="Calibri"/>
          <w:color w:val="111111"/>
        </w:rPr>
      </w:pPr>
      <w:r>
        <w:rPr>
          <w:rFonts w:ascii="Calibri" w:hAnsi="Calibri" w:cs="Calibri"/>
          <w:color w:val="111111"/>
        </w:rPr>
        <w:t>Inoltre, tenuto conto della natura e dell’entità del conflitto di</w:t>
      </w:r>
      <w:r>
        <w:rPr>
          <w:rFonts w:ascii="Calibri" w:hAnsi="Calibri" w:cs="Calibri"/>
          <w:color w:val="111111"/>
        </w:rPr>
        <w:t xml:space="preserve">   </w:t>
      </w:r>
      <w:r>
        <w:rPr>
          <w:rFonts w:ascii="Calibri" w:hAnsi="Calibri" w:cs="Calibri"/>
          <w:color w:val="111111"/>
        </w:rPr>
        <w:t xml:space="preserve">interesse, del ruolo svolto dal dipendente nell’ambito della specifica procedura e degli adempimenti posti a suo </w:t>
      </w:r>
      <w:proofErr w:type="gramStart"/>
      <w:r>
        <w:rPr>
          <w:rFonts w:ascii="Calibri" w:hAnsi="Calibri" w:cs="Calibri"/>
          <w:color w:val="111111"/>
        </w:rPr>
        <w:t>carico,</w:t>
      </w:r>
      <w:r>
        <w:rPr>
          <w:rFonts w:ascii="Calibri" w:hAnsi="Calibri" w:cs="Calibri"/>
          <w:color w:val="111111"/>
        </w:rPr>
        <w:t xml:space="preserve">   </w:t>
      </w:r>
      <w:proofErr w:type="gramEnd"/>
      <w:r>
        <w:rPr>
          <w:rFonts w:ascii="Calibri" w:hAnsi="Calibri" w:cs="Calibri"/>
          <w:color w:val="111111"/>
        </w:rPr>
        <w:t>può adottare ulteriori misure che possono consistere:</w:t>
      </w:r>
      <w:r>
        <w:rPr>
          <w:rFonts w:ascii="Calibri" w:hAnsi="Calibri" w:cs="Calibri"/>
          <w:color w:val="111111"/>
        </w:rPr>
        <w:t xml:space="preserve">  </w:t>
      </w:r>
    </w:p>
    <w:p w:rsidR="00202483" w:rsidRDefault="00202483" w:rsidP="00202483">
      <w:pPr>
        <w:jc w:val="both"/>
        <w:rPr>
          <w:rFonts w:ascii="Calibri" w:hAnsi="Calibri" w:cs="Calibri"/>
          <w:color w:val="111111"/>
        </w:rPr>
      </w:pPr>
      <w:r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1) nell’adozione di cautele aggiuntive rispetto a quelle ordinarie in materia di controlli, comunicazione, pubblicità;</w:t>
      </w:r>
      <w:r>
        <w:rPr>
          <w:rFonts w:ascii="Calibri" w:hAnsi="Calibri" w:cs="Calibri"/>
          <w:color w:val="111111"/>
        </w:rPr>
        <w:t xml:space="preserve">  </w:t>
      </w:r>
    </w:p>
    <w:p w:rsidR="00202483" w:rsidRDefault="00202483" w:rsidP="00202483">
      <w:pPr>
        <w:jc w:val="both"/>
        <w:rPr>
          <w:rFonts w:ascii="Calibri" w:hAnsi="Calibri" w:cs="Calibri"/>
          <w:color w:val="111111"/>
        </w:rPr>
      </w:pPr>
      <w:r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2) nell’intervento di altri soggetti con funzione di supervisione e controllo;</w:t>
      </w:r>
      <w:r>
        <w:rPr>
          <w:rFonts w:ascii="Calibri" w:hAnsi="Calibri" w:cs="Calibri"/>
          <w:color w:val="111111"/>
        </w:rPr>
        <w:t xml:space="preserve">   </w:t>
      </w:r>
    </w:p>
    <w:p w:rsidR="00202483" w:rsidRDefault="00202483" w:rsidP="00202483">
      <w:pPr>
        <w:jc w:val="both"/>
        <w:rPr>
          <w:rFonts w:ascii="Calibri" w:hAnsi="Calibri" w:cs="Calibri"/>
          <w:color w:val="111111"/>
        </w:rPr>
      </w:pPr>
      <w:r>
        <w:rPr>
          <w:rFonts w:ascii="Calibri" w:hAnsi="Calibri" w:cs="Calibri"/>
          <w:color w:val="111111"/>
        </w:rPr>
        <w:t>3) nell’adozione di obblighi più stringenti di motivazione delle scelte adottate, soprattutto con riferimento alle scelte</w:t>
      </w:r>
      <w:r>
        <w:rPr>
          <w:rFonts w:ascii="Calibri" w:hAnsi="Calibri" w:cs="Calibri"/>
          <w:color w:val="111111"/>
        </w:rPr>
        <w:t xml:space="preserve">   </w:t>
      </w:r>
      <w:r>
        <w:rPr>
          <w:rFonts w:ascii="Calibri" w:hAnsi="Calibri" w:cs="Calibri"/>
          <w:color w:val="111111"/>
        </w:rPr>
        <w:t>connotate da un elevato grado di discrezionalità.</w:t>
      </w:r>
      <w:r>
        <w:rPr>
          <w:rFonts w:ascii="Calibri" w:hAnsi="Calibri" w:cs="Calibri"/>
          <w:color w:val="111111"/>
        </w:rPr>
        <w:t xml:space="preserve">  </w:t>
      </w:r>
    </w:p>
    <w:p w:rsidR="00202483" w:rsidRDefault="00202483" w:rsidP="0020248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000000"/>
        </w:rPr>
        <w:t>L’art. 42 trova applicazione:</w:t>
      </w:r>
      <w:r>
        <w:rPr>
          <w:rFonts w:ascii="Calibri" w:hAnsi="Calibri" w:cs="Calibri"/>
          <w:color w:val="000000"/>
        </w:rPr>
        <w:t xml:space="preserve">  </w:t>
      </w:r>
    </w:p>
    <w:p w:rsidR="00202483" w:rsidRDefault="00202483" w:rsidP="0020248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SymbolMT" w:eastAsia="SymbolMT" w:hAnsi="Calibri-BoldItalic" w:cs="SymbolMT" w:hint="eastAsia"/>
          <w:color w:val="000000"/>
        </w:rPr>
        <w:t></w:t>
      </w:r>
      <w:r>
        <w:rPr>
          <w:rFonts w:ascii="SymbolMT" w:eastAsia="SymbolMT" w:hAnsi="Calibri-BoldItalic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 tutte le procedure di aggiudicazione di appalti e concessioni nei settori ordinari, sopra e sotto </w:t>
      </w:r>
      <w:proofErr w:type="gramStart"/>
      <w:r>
        <w:rPr>
          <w:rFonts w:ascii="Calibri" w:hAnsi="Calibri" w:cs="Calibri"/>
          <w:color w:val="000000"/>
        </w:rPr>
        <w:t>soglia;</w:t>
      </w:r>
      <w:r>
        <w:rPr>
          <w:rFonts w:ascii="Calibri" w:hAnsi="Calibri" w:cs="Calibri"/>
          <w:color w:val="000000"/>
        </w:rPr>
        <w:t xml:space="preserve">   </w:t>
      </w:r>
      <w:proofErr w:type="gramEnd"/>
      <w:r>
        <w:rPr>
          <w:rFonts w:ascii="SymbolMT" w:eastAsia="SymbolMT" w:hAnsi="Calibri-BoldItalic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-BoldItalic" w:cs="SymbolMT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>agli appalti nei settori speciali e agli appalti assoggettati al regime particolare di cui alla parte II, titolo VI del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Codice dei contratti, in forza dell'art. 114, comma 1, del codice stesso;</w:t>
      </w:r>
      <w:r>
        <w:rPr>
          <w:rFonts w:ascii="Calibri" w:hAnsi="Calibri" w:cs="Calibri"/>
          <w:color w:val="000000"/>
        </w:rPr>
        <w:t xml:space="preserve">   </w:t>
      </w:r>
    </w:p>
    <w:p w:rsidR="00202483" w:rsidRDefault="00202483" w:rsidP="00202483">
      <w:pPr>
        <w:jc w:val="both"/>
        <w:rPr>
          <w:rFonts w:ascii="Calibri" w:hAnsi="Calibri" w:cs="Calibri"/>
          <w:color w:val="000000"/>
        </w:rPr>
      </w:pPr>
      <w:r>
        <w:rPr>
          <w:rFonts w:ascii="SymbolMT" w:eastAsia="SymbolMT" w:hAnsi="Calibri-BoldItalic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-BoldItalic" w:cs="SymbolMT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>ai contratti esclusi dall'applicazione del codice medesimo in quanto declinazione dei principi di imparzialità e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parità di trattamento di cui all'art. 4 e in forza della disciplina dettata dalla legge n. 241/1990 e dal decreto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del Presidente della Repubblica n. 62/2013;</w:t>
      </w:r>
      <w:r>
        <w:rPr>
          <w:rFonts w:ascii="Calibri" w:hAnsi="Calibri" w:cs="Calibri"/>
          <w:color w:val="000000"/>
        </w:rPr>
        <w:t xml:space="preserve">  </w:t>
      </w:r>
    </w:p>
    <w:p w:rsidR="00202483" w:rsidRDefault="00202483" w:rsidP="0020248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SymbolMT" w:eastAsia="SymbolMT" w:hAnsi="Calibri-BoldItalic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-BoldItalic" w:cs="SymbolMT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>alla fase di esecuzione dei contratti pubblici.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Le Linee guida si pongono i seguenti obiettivi:</w:t>
      </w:r>
      <w:r>
        <w:rPr>
          <w:rFonts w:ascii="Calibri" w:hAnsi="Calibri" w:cs="Calibri"/>
          <w:color w:val="000000"/>
        </w:rPr>
        <w:t xml:space="preserve">   </w:t>
      </w:r>
    </w:p>
    <w:p w:rsidR="008635B5" w:rsidRDefault="00202483" w:rsidP="00202483">
      <w:pPr>
        <w:jc w:val="both"/>
        <w:rPr>
          <w:rFonts w:ascii="Calibri" w:hAnsi="Calibri" w:cs="Calibri"/>
          <w:color w:val="000000"/>
        </w:rPr>
      </w:pPr>
      <w:r>
        <w:rPr>
          <w:rFonts w:ascii="SymbolMT" w:eastAsia="SymbolMT" w:hAnsi="Calibri-BoldItalic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-BoldItalic" w:cs="SymbolMT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>agevolare le stazioni appaltanti nell’attività di individuazione, prevenzione e risoluzione dei conflitti di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interesse nelle procedure di gara favorendo la standardizzazione dei comportamenti e la diffusione delle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buone pratiche;</w:t>
      </w:r>
      <w:r>
        <w:rPr>
          <w:rFonts w:ascii="Calibri" w:hAnsi="Calibri" w:cs="Calibri"/>
          <w:color w:val="000000"/>
        </w:rPr>
        <w:t xml:space="preserve">   </w:t>
      </w:r>
    </w:p>
    <w:p w:rsidR="008635B5" w:rsidRDefault="00202483" w:rsidP="00202483">
      <w:pPr>
        <w:jc w:val="both"/>
        <w:rPr>
          <w:rFonts w:ascii="Calibri" w:hAnsi="Calibri" w:cs="Calibri"/>
          <w:color w:val="000000"/>
        </w:rPr>
      </w:pPr>
      <w:r>
        <w:rPr>
          <w:rFonts w:ascii="SymbolMT" w:eastAsia="SymbolMT" w:hAnsi="Calibri-BoldItalic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-BoldItalic" w:cs="SymbolMT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>favorire la regolarità delle procedure di gara;</w:t>
      </w:r>
      <w:r>
        <w:rPr>
          <w:rFonts w:ascii="Calibri" w:hAnsi="Calibri" w:cs="Calibri"/>
          <w:color w:val="000000"/>
        </w:rPr>
        <w:t xml:space="preserve">   </w:t>
      </w:r>
    </w:p>
    <w:p w:rsidR="008635B5" w:rsidRDefault="00202483" w:rsidP="00202483">
      <w:pPr>
        <w:jc w:val="both"/>
        <w:rPr>
          <w:rFonts w:ascii="Calibri" w:hAnsi="Calibri" w:cs="Calibri"/>
          <w:color w:val="000000"/>
        </w:rPr>
      </w:pPr>
      <w:r>
        <w:rPr>
          <w:rFonts w:ascii="SymbolMT" w:eastAsia="SymbolMT" w:hAnsi="Calibri-BoldItalic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-BoldItalic" w:cs="SymbolMT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>garantire imparzialità, trasparenza, efficienza ed efficacia dell’azione amministrativa;</w:t>
      </w:r>
      <w:r>
        <w:rPr>
          <w:rFonts w:ascii="Calibri" w:hAnsi="Calibri" w:cs="Calibri"/>
          <w:color w:val="000000"/>
        </w:rPr>
        <w:t xml:space="preserve">   </w:t>
      </w:r>
    </w:p>
    <w:p w:rsidR="008635B5" w:rsidRDefault="00202483" w:rsidP="00202483">
      <w:pPr>
        <w:jc w:val="both"/>
        <w:rPr>
          <w:rFonts w:ascii="Calibri" w:hAnsi="Calibri" w:cs="Calibri"/>
          <w:color w:val="000000"/>
        </w:rPr>
      </w:pPr>
      <w:r>
        <w:rPr>
          <w:rFonts w:ascii="SymbolMT" w:eastAsia="SymbolMT" w:hAnsi="Calibri-BoldItalic" w:cs="SymbolMT" w:hint="eastAsia"/>
          <w:color w:val="000000"/>
          <w:sz w:val="20"/>
          <w:szCs w:val="20"/>
        </w:rPr>
        <w:lastRenderedPageBreak/>
        <w:t></w:t>
      </w:r>
      <w:r>
        <w:rPr>
          <w:rFonts w:ascii="SymbolMT" w:eastAsia="SymbolMT" w:hAnsi="Calibri-BoldItalic" w:cs="SymbolMT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>garantire i soggetti coinvolti nelle procedure dal rischio dell’assunzione di responsabilità;</w:t>
      </w:r>
      <w:r>
        <w:rPr>
          <w:rFonts w:ascii="Calibri" w:hAnsi="Calibri" w:cs="Calibri"/>
          <w:color w:val="000000"/>
        </w:rPr>
        <w:t xml:space="preserve">   </w:t>
      </w:r>
    </w:p>
    <w:p w:rsidR="008635B5" w:rsidRDefault="00202483" w:rsidP="00202483">
      <w:pPr>
        <w:jc w:val="both"/>
        <w:rPr>
          <w:rFonts w:ascii="Calibri" w:hAnsi="Calibri" w:cs="Calibri"/>
          <w:color w:val="000000"/>
        </w:rPr>
      </w:pPr>
      <w:r>
        <w:rPr>
          <w:rFonts w:ascii="SymbolMT" w:eastAsia="SymbolMT" w:hAnsi="Calibri-BoldItalic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Calibri-BoldItalic" w:cs="SymbolMT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prevedere misure che evitino l’introduzione di oneri eccessivi per le s.a. e i soggetti chiamati </w:t>
      </w:r>
      <w:proofErr w:type="gramStart"/>
      <w:r>
        <w:rPr>
          <w:rFonts w:ascii="Calibri" w:hAnsi="Calibri" w:cs="Calibri"/>
          <w:color w:val="000000"/>
        </w:rPr>
        <w:t>a</w:t>
      </w:r>
      <w:proofErr w:type="gramEnd"/>
      <w:r>
        <w:rPr>
          <w:rFonts w:ascii="Calibri" w:hAnsi="Calibri" w:cs="Calibri"/>
          <w:color w:val="000000"/>
        </w:rPr>
        <w:t xml:space="preserve"> operare nelle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procedure di affidamento di contratti pubblici.</w:t>
      </w:r>
      <w:r>
        <w:rPr>
          <w:rFonts w:ascii="Calibri" w:hAnsi="Calibri" w:cs="Calibri"/>
          <w:color w:val="000000"/>
        </w:rPr>
        <w:t xml:space="preserve">   </w:t>
      </w:r>
    </w:p>
    <w:p w:rsidR="00202483" w:rsidRDefault="00202483" w:rsidP="0020248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 21 agosto 2019 sono entrate in vigore le </w:t>
      </w:r>
      <w:r>
        <w:rPr>
          <w:rFonts w:ascii="Calibri-Bold" w:hAnsi="Calibri-Bold" w:cs="Calibri-Bold"/>
          <w:b/>
          <w:bCs/>
          <w:color w:val="000000"/>
        </w:rPr>
        <w:t>norme di aggiornamento ai punti 1.5, 2.2, 2.3 e 5.2.6, lettera j) delle “Linee</w:t>
      </w:r>
      <w:r>
        <w:rPr>
          <w:rFonts w:ascii="Calibri-Bold" w:hAnsi="Calibri-Bold" w:cs="Calibri-Bold"/>
          <w:b/>
          <w:bCs/>
          <w:color w:val="000000"/>
        </w:rPr>
        <w:t xml:space="preserve">   </w:t>
      </w:r>
      <w:r>
        <w:rPr>
          <w:rFonts w:ascii="Calibri-Bold" w:hAnsi="Calibri-Bold" w:cs="Calibri-Bold"/>
          <w:b/>
          <w:bCs/>
          <w:color w:val="000000"/>
        </w:rPr>
        <w:t>guida n. 4” dell’ANAC</w:t>
      </w:r>
      <w:r>
        <w:rPr>
          <w:rFonts w:ascii="Calibri" w:hAnsi="Calibri" w:cs="Calibri"/>
          <w:color w:val="000000"/>
        </w:rPr>
        <w:t>, pubblicate sulla Gazzetta ufficiale n. 183 del 6 agosto 2019, emanate alla luce della procedura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di infrazione n. 2018/2273 intrapresa da Bruxelles contro il nostro Paese in materia di criteri di affidamento per gli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appalti che mostrano un interesse transfrontaliero certo e successivamente estesa a tutti gli appalti con una soglia non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sufficientemente elevata, a prescindere dall’interesse transfrontaliero della gara.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Rispetto alle precedenti Linee guida, aggiornate al Decreto Legislativo n. 56-2017 con delibera del Consiglio n. 206 del</w:t>
      </w:r>
      <w:r>
        <w:rPr>
          <w:rFonts w:ascii="Calibri" w:hAnsi="Calibri" w:cs="Calibri"/>
          <w:color w:val="000000"/>
        </w:rPr>
        <w:t xml:space="preserve">   </w:t>
      </w:r>
      <w:proofErr w:type="gramStart"/>
      <w:r>
        <w:rPr>
          <w:rFonts w:ascii="Calibri" w:hAnsi="Calibri" w:cs="Calibri"/>
          <w:color w:val="000000"/>
        </w:rPr>
        <w:t>1 marzo</w:t>
      </w:r>
      <w:proofErr w:type="gramEnd"/>
      <w:r>
        <w:rPr>
          <w:rFonts w:ascii="Calibri" w:hAnsi="Calibri" w:cs="Calibri"/>
          <w:color w:val="000000"/>
        </w:rPr>
        <w:t xml:space="preserve"> 2018, il nuovo punto 1.5 prevede alcune precisazioni relative ai criteri per accertare la presenza o meno del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carattere transfrontaliero dell’appalto.</w:t>
      </w:r>
      <w:r>
        <w:rPr>
          <w:rFonts w:ascii="Calibri" w:hAnsi="Calibri" w:cs="Calibri"/>
          <w:color w:val="000000"/>
        </w:rPr>
        <w:t xml:space="preserve">   </w:t>
      </w:r>
    </w:p>
    <w:p w:rsidR="008635B5" w:rsidRDefault="00202483" w:rsidP="0020248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particolare, il nuovo testo prevede che “</w:t>
      </w:r>
      <w:r>
        <w:rPr>
          <w:rFonts w:ascii="Calibri-Italic" w:hAnsi="Calibri-Italic" w:cs="Calibri-Italic"/>
          <w:i/>
          <w:iCs/>
          <w:color w:val="000000"/>
        </w:rPr>
        <w:t>Tale condizione non può essere ricavata, in via ipotetica, da taluni elementi</w:t>
      </w:r>
      <w:r>
        <w:rPr>
          <w:rFonts w:ascii="Calibri-Italic" w:hAnsi="Calibri-Italic" w:cs="Calibri-Italic"/>
          <w:i/>
          <w:iCs/>
          <w:color w:val="000000"/>
        </w:rPr>
        <w:t xml:space="preserve">   </w:t>
      </w:r>
      <w:r>
        <w:rPr>
          <w:rFonts w:ascii="Calibri-Italic" w:hAnsi="Calibri-Italic" w:cs="Calibri-Italic"/>
          <w:i/>
          <w:iCs/>
          <w:color w:val="000000"/>
        </w:rPr>
        <w:t>che, considerati in astratto, potrebbero costituire indizi in tal senso, ma deve risultare in modo chiaro da una</w:t>
      </w:r>
      <w:r>
        <w:rPr>
          <w:rFonts w:ascii="Calibri-Italic" w:hAnsi="Calibri-Italic" w:cs="Calibri-Italic"/>
          <w:i/>
          <w:iCs/>
          <w:color w:val="000000"/>
        </w:rPr>
        <w:t xml:space="preserve">   </w:t>
      </w:r>
      <w:r>
        <w:rPr>
          <w:rFonts w:ascii="Calibri-Italic" w:hAnsi="Calibri-Italic" w:cs="Calibri-Italic"/>
          <w:i/>
          <w:iCs/>
          <w:color w:val="000000"/>
        </w:rPr>
        <w:t>valutazione concreta delle circostanze dell’appalto in questione quali, a titolo esemplificativo, l’importo dell’appalto, in</w:t>
      </w:r>
      <w:r>
        <w:rPr>
          <w:rFonts w:ascii="Calibri-Italic" w:hAnsi="Calibri-Italic" w:cs="Calibri-Italic"/>
          <w:i/>
          <w:iCs/>
          <w:color w:val="000000"/>
        </w:rPr>
        <w:t xml:space="preserve">   </w:t>
      </w:r>
      <w:r>
        <w:rPr>
          <w:rFonts w:ascii="Calibri-Italic" w:hAnsi="Calibri-Italic" w:cs="Calibri-Italic"/>
          <w:i/>
          <w:iCs/>
          <w:color w:val="000000"/>
        </w:rPr>
        <w:t>combinazione con il luogo di esecuzione dei lavori o, ancora, le caratteristiche tecniche dell’appalto e le caratteristiche</w:t>
      </w:r>
      <w:r>
        <w:rPr>
          <w:rFonts w:ascii="Calibri-Italic" w:hAnsi="Calibri-Italic" w:cs="Calibri-Italic"/>
          <w:i/>
          <w:iCs/>
          <w:color w:val="000000"/>
        </w:rPr>
        <w:t xml:space="preserve">   </w:t>
      </w:r>
      <w:r>
        <w:rPr>
          <w:rFonts w:ascii="Calibri-Italic" w:hAnsi="Calibri-Italic" w:cs="Calibri-Italic"/>
          <w:i/>
          <w:iCs/>
          <w:color w:val="000000"/>
        </w:rPr>
        <w:t>specifiche dei prodotti in causa, tenendo anche conto, eventualmente, dell’esistenza di denunce (reali e non fittizie)</w:t>
      </w:r>
      <w:r>
        <w:rPr>
          <w:rFonts w:ascii="Calibri-Italic" w:hAnsi="Calibri-Italic" w:cs="Calibri-Italic"/>
          <w:i/>
          <w:iCs/>
          <w:color w:val="000000"/>
        </w:rPr>
        <w:t xml:space="preserve">   </w:t>
      </w:r>
      <w:r>
        <w:rPr>
          <w:rFonts w:ascii="Calibri-Italic" w:hAnsi="Calibri-Italic" w:cs="Calibri-Italic"/>
          <w:i/>
          <w:iCs/>
          <w:color w:val="000000"/>
        </w:rPr>
        <w:t>presentate da operatori ubicati in altri Stati membri</w:t>
      </w:r>
      <w:r>
        <w:rPr>
          <w:rFonts w:ascii="Calibri" w:hAnsi="Calibri" w:cs="Calibri"/>
          <w:color w:val="000000"/>
        </w:rPr>
        <w:t>”.</w:t>
      </w:r>
      <w:r>
        <w:rPr>
          <w:rFonts w:ascii="Calibri" w:hAnsi="Calibri" w:cs="Calibri"/>
          <w:color w:val="000000"/>
        </w:rPr>
        <w:t xml:space="preserve">   </w:t>
      </w:r>
    </w:p>
    <w:p w:rsidR="008635B5" w:rsidRDefault="00202483" w:rsidP="0020248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 questo punto il nuovo art. 1.5 continua precisando che “possono essere considerati, al riguardo, anche precedenti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affidamenti con oggetto analogo realizzati da parte della stazione appaltante o altre stazioni appaltanti di riferimento”,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proseguendo con la specificazione che “è necessario tenere conto del fatto che, in alcuni casi, le frontiere attraversano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centri urbani situati sul territorio di Stati membri diversi e che, in tali circostanze, anche appalti di valore esiguo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possono presentare un interesse transfrontaliero certo”.</w:t>
      </w:r>
      <w:r>
        <w:rPr>
          <w:rFonts w:ascii="Calibri" w:hAnsi="Calibri" w:cs="Calibri"/>
          <w:color w:val="000000"/>
        </w:rPr>
        <w:t xml:space="preserve">   </w:t>
      </w:r>
    </w:p>
    <w:p w:rsidR="008635B5" w:rsidRDefault="00202483" w:rsidP="0020248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 quanto riguarda l'articolo 2.2, la nuova versione mantiene inalterata la prima parte dell’articolo che prevede che</w:t>
      </w:r>
      <w:proofErr w:type="gramStart"/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“</w:t>
      </w:r>
      <w:proofErr w:type="gramEnd"/>
      <w:r>
        <w:rPr>
          <w:rFonts w:ascii="Calibri" w:hAnsi="Calibri" w:cs="Calibri"/>
          <w:color w:val="000000"/>
        </w:rPr>
        <w:t>per le opere di urbanizzazione a scomputo totale o parziale del contributo previsto per il rilascio del permesso di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costruire, nel calcolo del valore stimato devono essere cumulativamente considerati tutti i lavori di </w:t>
      </w:r>
      <w:r>
        <w:rPr>
          <w:rFonts w:ascii="Calibri-Bold" w:hAnsi="Calibri-Bold" w:cs="Calibri-Bold"/>
          <w:b/>
          <w:bCs/>
          <w:color w:val="000000"/>
        </w:rPr>
        <w:t>urbanizzazione</w:t>
      </w:r>
      <w:r>
        <w:rPr>
          <w:rFonts w:ascii="Calibri-Bold" w:hAnsi="Calibri-Bold" w:cs="Calibri-Bold"/>
          <w:b/>
          <w:bCs/>
          <w:color w:val="000000"/>
        </w:rPr>
        <w:t xml:space="preserve">   </w:t>
      </w:r>
      <w:r>
        <w:rPr>
          <w:rFonts w:ascii="Calibri-Bold" w:hAnsi="Calibri-Bold" w:cs="Calibri-Bold"/>
          <w:b/>
          <w:bCs/>
          <w:color w:val="000000"/>
        </w:rPr>
        <w:t xml:space="preserve">primaria e secondaria </w:t>
      </w:r>
      <w:r>
        <w:rPr>
          <w:rFonts w:ascii="Calibri" w:hAnsi="Calibri" w:cs="Calibri"/>
          <w:color w:val="000000"/>
        </w:rPr>
        <w:t>anche se appartenenti a diversi lotti, connessi ai lavori oggetto di permesso di costruire”.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La nuova versione dell’articolo interviene, invece, con l'aggiunta del seguente paragrafo: “</w:t>
      </w:r>
      <w:r>
        <w:rPr>
          <w:rFonts w:ascii="Calibri-Italic" w:hAnsi="Calibri-Italic" w:cs="Calibri-Italic"/>
          <w:i/>
          <w:iCs/>
          <w:color w:val="000000"/>
        </w:rPr>
        <w:t>quanto disposto dall’articolo</w:t>
      </w:r>
      <w:r>
        <w:rPr>
          <w:rFonts w:ascii="Calibri-Italic" w:hAnsi="Calibri-Italic" w:cs="Calibri-Italic"/>
          <w:i/>
          <w:iCs/>
          <w:color w:val="000000"/>
        </w:rPr>
        <w:t xml:space="preserve">   </w:t>
      </w:r>
      <w:r>
        <w:rPr>
          <w:rFonts w:ascii="Calibri-Italic" w:hAnsi="Calibri-Italic" w:cs="Calibri-Italic"/>
          <w:i/>
          <w:iCs/>
          <w:color w:val="000000"/>
        </w:rPr>
        <w:t>16, comma 2 bis, d.P.R. 6 giugno 2001, n. 380 e 36, comma 4, Codice dei contratti pubblici si applica unicamente quando</w:t>
      </w:r>
      <w:r>
        <w:rPr>
          <w:rFonts w:ascii="Calibri-Italic" w:hAnsi="Calibri-Italic" w:cs="Calibri-Italic"/>
          <w:i/>
          <w:iCs/>
          <w:color w:val="000000"/>
        </w:rPr>
        <w:t xml:space="preserve">   </w:t>
      </w:r>
      <w:r>
        <w:rPr>
          <w:rFonts w:ascii="Calibri-Italic" w:hAnsi="Calibri-Italic" w:cs="Calibri-Italic"/>
          <w:i/>
          <w:iCs/>
          <w:color w:val="000000"/>
        </w:rPr>
        <w:t xml:space="preserve">il valore di tutte le opere di urbanizzazione, calcolato ai sensi dell’articolo 35, comma 9, Codice dei contratti </w:t>
      </w:r>
      <w:proofErr w:type="gramStart"/>
      <w:r>
        <w:rPr>
          <w:rFonts w:ascii="Calibri-Italic" w:hAnsi="Calibri-Italic" w:cs="Calibri-Italic"/>
          <w:i/>
          <w:iCs/>
          <w:color w:val="000000"/>
        </w:rPr>
        <w:t>pubblici,</w:t>
      </w:r>
      <w:r>
        <w:rPr>
          <w:rFonts w:ascii="Calibri-Italic" w:hAnsi="Calibri-Italic" w:cs="Calibri-Italic"/>
          <w:i/>
          <w:iCs/>
          <w:color w:val="000000"/>
        </w:rPr>
        <w:t xml:space="preserve">   </w:t>
      </w:r>
      <w:proofErr w:type="gramEnd"/>
      <w:r>
        <w:rPr>
          <w:rFonts w:ascii="Calibri-Italic" w:hAnsi="Calibri-Italic" w:cs="Calibri-Italic"/>
          <w:i/>
          <w:iCs/>
          <w:color w:val="000000"/>
        </w:rPr>
        <w:t xml:space="preserve">non raggiunge le soglie di rilevanza comunitaria. Per l’effetto: se il valore complessivo delle 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>opere di urbanizzazione a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  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scomputo </w:t>
      </w:r>
      <w:r>
        <w:rPr>
          <w:rFonts w:ascii="Calibri-Italic" w:hAnsi="Calibri-Italic" w:cs="Calibri-Italic"/>
          <w:i/>
          <w:iCs/>
          <w:color w:val="000000"/>
        </w:rPr>
        <w:t>– qualunque esse siano – non raggiunge la soglia comunitaria, calcolata ai sensi dell’articolo 35, comma 9,</w:t>
      </w:r>
      <w:r>
        <w:rPr>
          <w:rFonts w:ascii="Calibri-Italic" w:hAnsi="Calibri-Italic" w:cs="Calibri-Italic"/>
          <w:i/>
          <w:iCs/>
          <w:color w:val="000000"/>
        </w:rPr>
        <w:t xml:space="preserve">   </w:t>
      </w:r>
      <w:r>
        <w:rPr>
          <w:rFonts w:ascii="Calibri-Italic" w:hAnsi="Calibri-Italic" w:cs="Calibri-Italic"/>
          <w:i/>
          <w:iCs/>
          <w:color w:val="000000"/>
        </w:rPr>
        <w:t>Codice dei contratti pubblici, il privato potrà avvalersi della deroga di cui all’articolo 16, comma 2 bis, d. P.R. 6 giugno</w:t>
      </w:r>
      <w:r>
        <w:rPr>
          <w:rFonts w:ascii="Calibri-Italic" w:hAnsi="Calibri-Italic" w:cs="Calibri-Italic"/>
          <w:i/>
          <w:iCs/>
          <w:color w:val="000000"/>
        </w:rPr>
        <w:t xml:space="preserve">   </w:t>
      </w:r>
      <w:r>
        <w:rPr>
          <w:rFonts w:ascii="Calibri-Italic" w:hAnsi="Calibri-Italic" w:cs="Calibri-Italic"/>
          <w:i/>
          <w:iCs/>
          <w:color w:val="000000"/>
        </w:rPr>
        <w:t>2001 n. 380, esclusivamente per le opere funzionali; al contrario, qualora il valore complessivo di tutte le opere superi</w:t>
      </w:r>
      <w:r>
        <w:rPr>
          <w:rFonts w:ascii="Calibri-Italic" w:hAnsi="Calibri-Italic" w:cs="Calibri-Italic"/>
          <w:i/>
          <w:iCs/>
          <w:color w:val="000000"/>
        </w:rPr>
        <w:t xml:space="preserve">   </w:t>
      </w:r>
      <w:r>
        <w:rPr>
          <w:rFonts w:ascii="Calibri-Italic" w:hAnsi="Calibri-Italic" w:cs="Calibri-Italic"/>
          <w:i/>
          <w:iCs/>
          <w:color w:val="000000"/>
        </w:rPr>
        <w:t>la soglia comunitaria, il privato sarà tenuto al rispetto delle regole di cui al Codice di contratti pubblici sia per le opere</w:t>
      </w:r>
      <w:r>
        <w:rPr>
          <w:rFonts w:ascii="Calibri-Italic" w:hAnsi="Calibri-Italic" w:cs="Calibri-Italic"/>
          <w:i/>
          <w:iCs/>
          <w:color w:val="000000"/>
        </w:rPr>
        <w:t xml:space="preserve">   </w:t>
      </w:r>
      <w:r>
        <w:rPr>
          <w:rFonts w:ascii="Calibri-Italic" w:hAnsi="Calibri-Italic" w:cs="Calibri-Italic"/>
          <w:i/>
          <w:iCs/>
          <w:color w:val="000000"/>
        </w:rPr>
        <w:t xml:space="preserve">funzionali che per quelle non funzionali. Per 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opere funzionali </w:t>
      </w:r>
      <w:r>
        <w:rPr>
          <w:rFonts w:ascii="Calibri-Italic" w:hAnsi="Calibri-Italic" w:cs="Calibri-Italic"/>
          <w:i/>
          <w:iCs/>
          <w:color w:val="000000"/>
        </w:rPr>
        <w:t>si intendono le opere di urbanizzazione primaria (ad es.</w:t>
      </w:r>
      <w:r>
        <w:rPr>
          <w:rFonts w:ascii="Calibri-Italic" w:hAnsi="Calibri-Italic" w:cs="Calibri-Italic"/>
          <w:i/>
          <w:iCs/>
          <w:color w:val="000000"/>
        </w:rPr>
        <w:t xml:space="preserve">   </w:t>
      </w:r>
      <w:r>
        <w:rPr>
          <w:rFonts w:ascii="Calibri-Italic" w:hAnsi="Calibri-Italic" w:cs="Calibri-Italic"/>
          <w:i/>
          <w:iCs/>
          <w:color w:val="000000"/>
        </w:rPr>
        <w:t>fogne, strade, e tutti gli ulteriori interventi elencati in via esemplificativa dall’articolo 16, comma 7, d.P.R. 6 giugno</w:t>
      </w:r>
      <w:r>
        <w:rPr>
          <w:rFonts w:ascii="Calibri-Italic" w:hAnsi="Calibri-Italic" w:cs="Calibri-Italic"/>
          <w:i/>
          <w:iCs/>
          <w:color w:val="000000"/>
        </w:rPr>
        <w:t xml:space="preserve">   </w:t>
      </w:r>
      <w:r>
        <w:rPr>
          <w:rFonts w:ascii="Calibri-Italic" w:hAnsi="Calibri-Italic" w:cs="Calibri-Italic"/>
          <w:i/>
          <w:iCs/>
          <w:color w:val="000000"/>
        </w:rPr>
        <w:t>2001 n. 380) la cui realizzazione è diretta in via esclusiva al servizio della lottizzazione ovvero della realizzazione</w:t>
      </w:r>
      <w:r>
        <w:rPr>
          <w:rFonts w:ascii="Calibri-Italic" w:hAnsi="Calibri-Italic" w:cs="Calibri-Italic"/>
          <w:i/>
          <w:iCs/>
          <w:color w:val="000000"/>
        </w:rPr>
        <w:t xml:space="preserve">   </w:t>
      </w:r>
      <w:r>
        <w:rPr>
          <w:rFonts w:ascii="Calibri-Italic" w:hAnsi="Calibri-Italic" w:cs="Calibri-Italic"/>
          <w:i/>
          <w:iCs/>
          <w:color w:val="000000"/>
        </w:rPr>
        <w:t>dell’opera edilizia di cui al titolo abilitativo a costruire e, comunque, quelle assegnate alla realizzazione a carico del</w:t>
      </w:r>
      <w:r>
        <w:rPr>
          <w:rFonts w:ascii="Calibri-Italic" w:hAnsi="Calibri-Italic" w:cs="Calibri-Italic"/>
          <w:i/>
          <w:iCs/>
          <w:color w:val="000000"/>
        </w:rPr>
        <w:t xml:space="preserve">   </w:t>
      </w:r>
      <w:r>
        <w:rPr>
          <w:rFonts w:ascii="Calibri-Italic" w:hAnsi="Calibri-Italic" w:cs="Calibri-Italic"/>
          <w:i/>
          <w:iCs/>
          <w:color w:val="000000"/>
        </w:rPr>
        <w:lastRenderedPageBreak/>
        <w:t>destinatario del titolo abilitativo a costruire</w:t>
      </w:r>
      <w:r>
        <w:rPr>
          <w:rFonts w:ascii="Calibri" w:hAnsi="Calibri" w:cs="Calibri"/>
          <w:color w:val="000000"/>
        </w:rPr>
        <w:t>”.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Le modifiche apportate agli articoli 2.3 e alla lettera j dell’art. 5.26 riguardano, infine, esclusivamente l’aggiunta di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nuovi riferimenti normativi.</w:t>
      </w:r>
      <w:r>
        <w:rPr>
          <w:rFonts w:ascii="Calibri" w:hAnsi="Calibri" w:cs="Calibri"/>
          <w:color w:val="000000"/>
        </w:rPr>
        <w:t xml:space="preserve">   </w:t>
      </w:r>
    </w:p>
    <w:p w:rsidR="000C5B73" w:rsidRDefault="00202483" w:rsidP="00202483">
      <w:pPr>
        <w:jc w:val="both"/>
      </w:pPr>
      <w:r>
        <w:rPr>
          <w:rFonts w:ascii="Calibri" w:hAnsi="Calibri" w:cs="Calibri"/>
          <w:color w:val="000000"/>
        </w:rPr>
        <w:t>Nel corso dell’aggiornamento delle Linee guida n. 4 è intervenuta l’approvazione del decreto “</w:t>
      </w:r>
      <w:r>
        <w:rPr>
          <w:rFonts w:ascii="Calibri-Bold" w:hAnsi="Calibri-Bold" w:cs="Calibri-Bold"/>
          <w:b/>
          <w:bCs/>
          <w:color w:val="000000"/>
        </w:rPr>
        <w:t xml:space="preserve">Sblocca cantieri” </w:t>
      </w:r>
      <w:proofErr w:type="gramStart"/>
      <w:r>
        <w:rPr>
          <w:rFonts w:ascii="Calibri" w:hAnsi="Calibri" w:cs="Calibri"/>
          <w:color w:val="000000"/>
        </w:rPr>
        <w:t>che,</w:t>
      </w:r>
      <w:r>
        <w:rPr>
          <w:rFonts w:ascii="Calibri" w:hAnsi="Calibri" w:cs="Calibri"/>
          <w:color w:val="000000"/>
        </w:rPr>
        <w:t xml:space="preserve">   </w:t>
      </w:r>
      <w:proofErr w:type="gramEnd"/>
      <w:r>
        <w:rPr>
          <w:rFonts w:ascii="Calibri" w:hAnsi="Calibri" w:cs="Calibri"/>
          <w:color w:val="000000"/>
        </w:rPr>
        <w:t>tra le altre cose, ha modificato l'assetto del Codice dei contratti pubblici in termini di disposizioni attuative. Lo Sblocca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cantieri, infatti, ha stabilito il </w:t>
      </w:r>
      <w:r>
        <w:rPr>
          <w:rFonts w:ascii="Calibri-Bold" w:hAnsi="Calibri-Bold" w:cs="Calibri-Bold"/>
          <w:b/>
          <w:bCs/>
          <w:color w:val="000000"/>
        </w:rPr>
        <w:t xml:space="preserve">superamento </w:t>
      </w:r>
      <w:r>
        <w:rPr>
          <w:rFonts w:ascii="Calibri" w:hAnsi="Calibri" w:cs="Calibri"/>
          <w:color w:val="000000"/>
        </w:rPr>
        <w:t>del c.d. sistema della “</w:t>
      </w:r>
      <w:r>
        <w:rPr>
          <w:rFonts w:ascii="Calibri-Bold" w:hAnsi="Calibri-Bold" w:cs="Calibri-Bold"/>
          <w:b/>
          <w:bCs/>
          <w:color w:val="000000"/>
        </w:rPr>
        <w:t xml:space="preserve">soft </w:t>
      </w:r>
      <w:proofErr w:type="spellStart"/>
      <w:r>
        <w:rPr>
          <w:rFonts w:ascii="Calibri-Bold" w:hAnsi="Calibri-Bold" w:cs="Calibri-Bold"/>
          <w:b/>
          <w:bCs/>
          <w:color w:val="000000"/>
        </w:rPr>
        <w:t>law</w:t>
      </w:r>
      <w:proofErr w:type="spellEnd"/>
      <w:r>
        <w:rPr>
          <w:rFonts w:ascii="Calibri" w:hAnsi="Calibri" w:cs="Calibri"/>
          <w:color w:val="000000"/>
        </w:rPr>
        <w:t>”, ovvero delle Linee Guida dell’ANAC, a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favore del </w:t>
      </w:r>
      <w:r>
        <w:rPr>
          <w:rFonts w:ascii="Calibri-Bold" w:hAnsi="Calibri-Bold" w:cs="Calibri-Bold"/>
          <w:b/>
          <w:bCs/>
          <w:color w:val="000000"/>
        </w:rPr>
        <w:t xml:space="preserve">ritorno del Regolamento Unico di attuazione </w:t>
      </w:r>
      <w:r>
        <w:rPr>
          <w:rFonts w:ascii="Calibri" w:hAnsi="Calibri" w:cs="Calibri"/>
          <w:color w:val="000000"/>
        </w:rPr>
        <w:t>che dovrebbe essere adottato entro 180 giorni dalla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pubblicazione in Gazzetta Ufficiale della legge di conversione del decreto (</w:t>
      </w:r>
      <w:r>
        <w:rPr>
          <w:rFonts w:ascii="Calibri-Italic" w:hAnsi="Calibri-Italic" w:cs="Calibri-Italic"/>
          <w:i/>
          <w:iCs/>
          <w:color w:val="000000"/>
        </w:rPr>
        <w:t>per approfondimenti vedasi articolo</w:t>
      </w:r>
      <w:r>
        <w:rPr>
          <w:rFonts w:ascii="Calibri-Italic" w:hAnsi="Calibri-Italic" w:cs="Calibri-Italic"/>
          <w:i/>
          <w:iCs/>
          <w:color w:val="000000"/>
        </w:rPr>
        <w:t xml:space="preserve">   </w:t>
      </w:r>
      <w:r>
        <w:rPr>
          <w:rFonts w:ascii="Calibri-Italic" w:hAnsi="Calibri-Italic" w:cs="Calibri-Italic"/>
          <w:i/>
          <w:iCs/>
          <w:color w:val="000000"/>
        </w:rPr>
        <w:t>pubblicato sul precedente Numero della Newsletter</w:t>
      </w:r>
      <w:r>
        <w:rPr>
          <w:rFonts w:ascii="Calibri" w:hAnsi="Calibri" w:cs="Calibri"/>
          <w:color w:val="000000"/>
        </w:rPr>
        <w:t>). Nell’attesa che ciò avvenga, lo Sblocca cantieri ha comunque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previsto la facoltà per l’ANAC di modificare le Linee guida n. 4 ai soli fini dell’archiviazione della procedura di infrazione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n. 2018/2273.</w:t>
      </w:r>
      <w:r>
        <w:t xml:space="preserve">   </w:t>
      </w:r>
    </w:p>
    <w:sectPr w:rsidR="000C5B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7219"/>
    <w:multiLevelType w:val="hybridMultilevel"/>
    <w:tmpl w:val="D75A3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015A9"/>
    <w:multiLevelType w:val="hybridMultilevel"/>
    <w:tmpl w:val="4244A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95E93"/>
    <w:multiLevelType w:val="hybridMultilevel"/>
    <w:tmpl w:val="060C75DE"/>
    <w:lvl w:ilvl="0" w:tplc="8C00787E">
      <w:numFmt w:val="bullet"/>
      <w:lvlText w:val=""/>
      <w:lvlJc w:val="left"/>
      <w:pPr>
        <w:ind w:left="465" w:hanging="360"/>
      </w:pPr>
      <w:rPr>
        <w:rFonts w:ascii="SymbolMT" w:eastAsia="SymbolMT" w:hAnsi="Calibri-BoldItalic" w:cs="SymbolMT" w:hint="eastAsia"/>
        <w:sz w:val="20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83"/>
    <w:rsid w:val="000C5B73"/>
    <w:rsid w:val="00202483"/>
    <w:rsid w:val="008635B5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3E54"/>
  <w15:chartTrackingRefBased/>
  <w15:docId w15:val="{B6E4897D-9BEE-4984-B7AF-85315C71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Alunni</dc:creator>
  <cp:keywords/>
  <dc:description/>
  <cp:lastModifiedBy>Marisa Alunni</cp:lastModifiedBy>
  <cp:revision>1</cp:revision>
  <dcterms:created xsi:type="dcterms:W3CDTF">2019-10-30T12:09:00Z</dcterms:created>
  <dcterms:modified xsi:type="dcterms:W3CDTF">2019-10-30T12:24:00Z</dcterms:modified>
</cp:coreProperties>
</file>